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44609" w14:textId="14C770D5" w:rsidR="00E864A1" w:rsidRPr="00C13E27" w:rsidRDefault="00E864A1" w:rsidP="00E864A1">
      <w:pPr>
        <w:spacing w:before="228"/>
        <w:ind w:left="242" w:right="900"/>
        <w:jc w:val="center"/>
        <w:rPr>
          <w:rFonts w:ascii="Calibri" w:hAnsi="Calibri" w:cs="Calibri"/>
          <w:b/>
          <w:sz w:val="80"/>
          <w:szCs w:val="80"/>
        </w:rPr>
      </w:pPr>
      <w:bookmarkStart w:id="0" w:name="_GoBack"/>
      <w:bookmarkEnd w:id="0"/>
      <w:r w:rsidRPr="00C13E27">
        <w:rPr>
          <w:rFonts w:ascii="Calibri" w:hAnsi="Calibri" w:cs="Calibri"/>
          <w:b/>
          <w:sz w:val="80"/>
          <w:szCs w:val="80"/>
        </w:rPr>
        <w:t>SAVE THE DATE</w:t>
      </w:r>
    </w:p>
    <w:p w14:paraId="3A657EFA" w14:textId="759FBAD0" w:rsidR="00E864A1" w:rsidRPr="00C13E27" w:rsidRDefault="00C13E27" w:rsidP="00E864A1">
      <w:pPr>
        <w:spacing w:before="228"/>
        <w:ind w:left="242" w:right="900"/>
        <w:jc w:val="center"/>
        <w:rPr>
          <w:rFonts w:ascii="Calibri" w:hAnsi="Calibri" w:cs="Calibri"/>
          <w:b/>
          <w:sz w:val="44"/>
          <w:szCs w:val="44"/>
        </w:rPr>
      </w:pPr>
      <w:r w:rsidRPr="00C13E27">
        <w:rPr>
          <w:rFonts w:ascii="Calibri" w:hAnsi="Calibri" w:cs="Calibri"/>
          <w:b/>
          <w:sz w:val="44"/>
          <w:szCs w:val="44"/>
        </w:rPr>
        <w:t>Continuing Advances in Special Pathogen Response</w:t>
      </w:r>
    </w:p>
    <w:p w14:paraId="24263C48" w14:textId="44E8181E" w:rsidR="00003416" w:rsidRDefault="00E864A1" w:rsidP="00E864A1">
      <w:pPr>
        <w:pStyle w:val="BodyText"/>
        <w:jc w:val="center"/>
        <w:rPr>
          <w:b/>
          <w:i w:val="0"/>
          <w:sz w:val="21"/>
        </w:rPr>
      </w:pPr>
      <w:r>
        <w:rPr>
          <w:noProof/>
        </w:rPr>
        <w:drawing>
          <wp:inline distT="0" distB="0" distL="0" distR="0" wp14:anchorId="1740B7E8" wp14:editId="0F7D7F15">
            <wp:extent cx="2667000" cy="1664418"/>
            <wp:effectExtent l="0" t="0" r="0" b="0"/>
            <wp:docPr id="2" name="Picture 2" descr="Image result for E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bol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3263" cy="1705771"/>
                    </a:xfrm>
                    <a:prstGeom prst="rect">
                      <a:avLst/>
                    </a:prstGeom>
                    <a:noFill/>
                    <a:ln>
                      <a:noFill/>
                    </a:ln>
                  </pic:spPr>
                </pic:pic>
              </a:graphicData>
            </a:graphic>
          </wp:inline>
        </w:drawing>
      </w:r>
    </w:p>
    <w:p w14:paraId="69E34C2D" w14:textId="77777777" w:rsidR="00003416" w:rsidRDefault="00003416">
      <w:pPr>
        <w:pStyle w:val="BodyText"/>
        <w:spacing w:before="11"/>
        <w:rPr>
          <w:b/>
          <w:i w:val="0"/>
          <w:sz w:val="17"/>
        </w:rPr>
      </w:pPr>
    </w:p>
    <w:p w14:paraId="4E584CD6" w14:textId="77777777" w:rsidR="00E864A1" w:rsidRPr="00C13E27" w:rsidRDefault="00651198" w:rsidP="00E864A1">
      <w:pPr>
        <w:ind w:left="605" w:right="907"/>
        <w:jc w:val="center"/>
        <w:rPr>
          <w:rFonts w:asciiTheme="minorHAnsi" w:hAnsiTheme="minorHAnsi" w:cstheme="minorHAnsi"/>
          <w:b/>
          <w:sz w:val="60"/>
          <w:szCs w:val="60"/>
        </w:rPr>
      </w:pPr>
      <w:r w:rsidRPr="00C13E27">
        <w:rPr>
          <w:rFonts w:asciiTheme="minorHAnsi" w:hAnsiTheme="minorHAnsi" w:cstheme="minorHAnsi"/>
          <w:b/>
          <w:sz w:val="60"/>
          <w:szCs w:val="60"/>
        </w:rPr>
        <w:t xml:space="preserve">September 9th, 2019 </w:t>
      </w:r>
    </w:p>
    <w:p w14:paraId="45F2A4DA" w14:textId="77777777" w:rsidR="00E864A1" w:rsidRPr="00C13E27" w:rsidRDefault="00E864A1" w:rsidP="00E864A1">
      <w:pPr>
        <w:ind w:left="605" w:right="907"/>
        <w:jc w:val="center"/>
        <w:rPr>
          <w:rFonts w:asciiTheme="minorHAnsi" w:hAnsiTheme="minorHAnsi" w:cstheme="minorHAnsi"/>
          <w:sz w:val="44"/>
          <w:szCs w:val="44"/>
        </w:rPr>
      </w:pPr>
    </w:p>
    <w:p w14:paraId="0E24E107" w14:textId="547274AB" w:rsidR="00E864A1" w:rsidRPr="00C13E27" w:rsidRDefault="00651198" w:rsidP="00E864A1">
      <w:pPr>
        <w:ind w:left="605" w:right="907"/>
        <w:jc w:val="center"/>
        <w:rPr>
          <w:rFonts w:asciiTheme="minorHAnsi" w:hAnsiTheme="minorHAnsi" w:cstheme="minorHAnsi"/>
          <w:sz w:val="44"/>
          <w:szCs w:val="44"/>
        </w:rPr>
      </w:pPr>
      <w:r w:rsidRPr="00C13E27">
        <w:rPr>
          <w:rFonts w:asciiTheme="minorHAnsi" w:hAnsiTheme="minorHAnsi" w:cstheme="minorHAnsi"/>
          <w:sz w:val="44"/>
          <w:szCs w:val="44"/>
        </w:rPr>
        <w:t xml:space="preserve">Kellogg Hotel &amp; Conference Center </w:t>
      </w:r>
    </w:p>
    <w:p w14:paraId="2327D8AA" w14:textId="61CFD8CB" w:rsidR="00651198" w:rsidRPr="00C13E27" w:rsidRDefault="00651198" w:rsidP="00E864A1">
      <w:pPr>
        <w:ind w:left="605" w:right="907"/>
        <w:jc w:val="center"/>
        <w:rPr>
          <w:rFonts w:asciiTheme="minorHAnsi" w:hAnsiTheme="minorHAnsi" w:cstheme="minorHAnsi"/>
          <w:sz w:val="44"/>
          <w:szCs w:val="44"/>
        </w:rPr>
      </w:pPr>
      <w:r w:rsidRPr="00C13E27">
        <w:rPr>
          <w:rFonts w:asciiTheme="minorHAnsi" w:hAnsiTheme="minorHAnsi" w:cstheme="minorHAnsi"/>
          <w:sz w:val="44"/>
          <w:szCs w:val="44"/>
        </w:rPr>
        <w:t>219 S Harrison Road, East Lansing, MI 48824</w:t>
      </w:r>
      <w:r w:rsidR="00875F4A">
        <w:rPr>
          <w:rFonts w:asciiTheme="minorHAnsi" w:hAnsiTheme="minorHAnsi" w:cstheme="minorHAnsi"/>
          <w:sz w:val="44"/>
          <w:szCs w:val="44"/>
        </w:rPr>
        <w:t>-1022</w:t>
      </w:r>
    </w:p>
    <w:p w14:paraId="136D870F" w14:textId="2100857A" w:rsidR="00651198" w:rsidRPr="00C13E27" w:rsidRDefault="00842C1D" w:rsidP="00C13E27">
      <w:pPr>
        <w:spacing w:before="268" w:line="285" w:lineRule="auto"/>
        <w:ind w:left="604" w:right="900"/>
        <w:rPr>
          <w:rFonts w:asciiTheme="minorHAnsi" w:hAnsiTheme="minorHAnsi" w:cstheme="minorHAnsi"/>
          <w:sz w:val="28"/>
        </w:rPr>
      </w:pPr>
      <w:r w:rsidRPr="00C13E27">
        <w:rPr>
          <w:rFonts w:asciiTheme="minorHAnsi" w:hAnsiTheme="minorHAnsi" w:cstheme="minorHAnsi"/>
          <w:b/>
          <w:sz w:val="32"/>
        </w:rPr>
        <w:t xml:space="preserve">Who should attend: </w:t>
      </w:r>
      <w:r w:rsidR="00651198" w:rsidRPr="00C13E27">
        <w:rPr>
          <w:rFonts w:asciiTheme="minorHAnsi" w:hAnsiTheme="minorHAnsi" w:cstheme="minorHAnsi"/>
          <w:sz w:val="28"/>
        </w:rPr>
        <w:t xml:space="preserve">Hospital </w:t>
      </w:r>
      <w:r w:rsidR="00E864A1" w:rsidRPr="00C13E27">
        <w:rPr>
          <w:rFonts w:asciiTheme="minorHAnsi" w:hAnsiTheme="minorHAnsi" w:cstheme="minorHAnsi"/>
          <w:sz w:val="28"/>
        </w:rPr>
        <w:t>Staff</w:t>
      </w:r>
      <w:r w:rsidR="00A30EB8">
        <w:rPr>
          <w:rFonts w:asciiTheme="minorHAnsi" w:hAnsiTheme="minorHAnsi" w:cstheme="minorHAnsi"/>
          <w:sz w:val="28"/>
        </w:rPr>
        <w:t>,</w:t>
      </w:r>
      <w:r w:rsidR="00E864A1" w:rsidRPr="00C13E27">
        <w:rPr>
          <w:rFonts w:asciiTheme="minorHAnsi" w:hAnsiTheme="minorHAnsi" w:cstheme="minorHAnsi"/>
          <w:sz w:val="28"/>
        </w:rPr>
        <w:t xml:space="preserve"> </w:t>
      </w:r>
      <w:r w:rsidR="00651198" w:rsidRPr="00C13E27">
        <w:rPr>
          <w:rFonts w:asciiTheme="minorHAnsi" w:hAnsiTheme="minorHAnsi" w:cstheme="minorHAnsi"/>
          <w:sz w:val="28"/>
        </w:rPr>
        <w:t>Physician Assistants, Nurses, Allied Health Professionals,</w:t>
      </w:r>
      <w:r w:rsidR="00B210EF">
        <w:rPr>
          <w:rFonts w:asciiTheme="minorHAnsi" w:hAnsiTheme="minorHAnsi" w:cstheme="minorHAnsi"/>
          <w:sz w:val="28"/>
        </w:rPr>
        <w:t xml:space="preserve"> EMS,</w:t>
      </w:r>
      <w:r w:rsidR="00651198" w:rsidRPr="00C13E27">
        <w:rPr>
          <w:rFonts w:asciiTheme="minorHAnsi" w:hAnsiTheme="minorHAnsi" w:cstheme="minorHAnsi"/>
          <w:sz w:val="28"/>
        </w:rPr>
        <w:t xml:space="preserve"> Regional Healthcare </w:t>
      </w:r>
      <w:r w:rsidR="00E864A1" w:rsidRPr="00C13E27">
        <w:rPr>
          <w:rFonts w:asciiTheme="minorHAnsi" w:hAnsiTheme="minorHAnsi" w:cstheme="minorHAnsi"/>
          <w:sz w:val="28"/>
        </w:rPr>
        <w:t xml:space="preserve">Coalition </w:t>
      </w:r>
      <w:r w:rsidR="00875F4A">
        <w:rPr>
          <w:rFonts w:asciiTheme="minorHAnsi" w:hAnsiTheme="minorHAnsi" w:cstheme="minorHAnsi"/>
          <w:sz w:val="28"/>
        </w:rPr>
        <w:t>Members</w:t>
      </w:r>
      <w:r w:rsidR="00651198" w:rsidRPr="00C13E27">
        <w:rPr>
          <w:rFonts w:asciiTheme="minorHAnsi" w:hAnsiTheme="minorHAnsi" w:cstheme="minorHAnsi"/>
          <w:sz w:val="28"/>
        </w:rPr>
        <w:t xml:space="preserve">, </w:t>
      </w:r>
      <w:r w:rsidR="00E864A1" w:rsidRPr="00C13E27">
        <w:rPr>
          <w:rFonts w:asciiTheme="minorHAnsi" w:hAnsiTheme="minorHAnsi" w:cstheme="minorHAnsi"/>
          <w:sz w:val="28"/>
        </w:rPr>
        <w:t xml:space="preserve">Local &amp; State </w:t>
      </w:r>
      <w:r w:rsidR="00651198" w:rsidRPr="00C13E27">
        <w:rPr>
          <w:rFonts w:asciiTheme="minorHAnsi" w:hAnsiTheme="minorHAnsi" w:cstheme="minorHAnsi"/>
          <w:sz w:val="28"/>
        </w:rPr>
        <w:t>Public Health, Tribal Health, Health Profession Students, Emergency Management and Behavioral Health</w:t>
      </w:r>
    </w:p>
    <w:p w14:paraId="1A8AFACE" w14:textId="5C646B19" w:rsidR="00003416" w:rsidRPr="00C13E27" w:rsidRDefault="00651198" w:rsidP="00E864A1">
      <w:pPr>
        <w:spacing w:before="268" w:line="285" w:lineRule="auto"/>
        <w:ind w:left="604" w:right="900"/>
        <w:jc w:val="center"/>
        <w:rPr>
          <w:rFonts w:asciiTheme="minorHAnsi" w:hAnsiTheme="minorHAnsi" w:cstheme="minorHAnsi"/>
          <w:sz w:val="28"/>
        </w:rPr>
      </w:pPr>
      <w:r w:rsidRPr="00C13E27">
        <w:rPr>
          <w:rFonts w:asciiTheme="minorHAnsi" w:hAnsiTheme="minorHAnsi" w:cstheme="minorHAnsi"/>
          <w:sz w:val="28"/>
        </w:rPr>
        <w:t>Applications for continuing education credits have been submitted.</w:t>
      </w:r>
    </w:p>
    <w:p w14:paraId="60C45E51" w14:textId="77777777" w:rsidR="00003416" w:rsidRPr="00C13E27" w:rsidRDefault="00003416" w:rsidP="00E864A1">
      <w:pPr>
        <w:pStyle w:val="BodyText"/>
        <w:spacing w:before="6"/>
        <w:jc w:val="center"/>
        <w:rPr>
          <w:rFonts w:asciiTheme="minorHAnsi" w:hAnsiTheme="minorHAnsi" w:cstheme="minorHAnsi"/>
          <w:i w:val="0"/>
          <w:sz w:val="27"/>
        </w:rPr>
      </w:pPr>
    </w:p>
    <w:p w14:paraId="0E78A0F2" w14:textId="4FA89B5C" w:rsidR="00003416" w:rsidRPr="00C13E27" w:rsidRDefault="00842C1D" w:rsidP="00E864A1">
      <w:pPr>
        <w:ind w:left="604" w:right="203"/>
        <w:jc w:val="center"/>
        <w:rPr>
          <w:rFonts w:asciiTheme="minorHAnsi" w:hAnsiTheme="minorHAnsi" w:cstheme="minorHAnsi"/>
          <w:b/>
          <w:sz w:val="24"/>
          <w:szCs w:val="24"/>
        </w:rPr>
      </w:pPr>
      <w:r w:rsidRPr="00D01B12">
        <w:rPr>
          <w:rFonts w:asciiTheme="minorHAnsi" w:hAnsiTheme="minorHAnsi" w:cstheme="minorHAnsi"/>
          <w:b/>
          <w:sz w:val="20"/>
          <w:szCs w:val="20"/>
        </w:rPr>
        <w:t xml:space="preserve">Additional information and registration materials will be available soon at </w:t>
      </w:r>
      <w:hyperlink r:id="rId5">
        <w:r w:rsidRPr="00D01B12">
          <w:rPr>
            <w:rFonts w:asciiTheme="minorHAnsi" w:hAnsiTheme="minorHAnsi" w:cstheme="minorHAnsi"/>
            <w:b/>
            <w:color w:val="0BA0E3"/>
            <w:sz w:val="20"/>
            <w:szCs w:val="20"/>
            <w:u w:val="single" w:color="0000FF"/>
          </w:rPr>
          <w:t>http:/</w:t>
        </w:r>
        <w:r w:rsidR="00F63230">
          <w:rPr>
            <w:rFonts w:asciiTheme="minorHAnsi" w:hAnsiTheme="minorHAnsi" w:cstheme="minorHAnsi"/>
            <w:b/>
            <w:color w:val="0BA0E3"/>
            <w:sz w:val="20"/>
            <w:szCs w:val="20"/>
            <w:u w:val="single" w:color="0000FF"/>
          </w:rPr>
          <w:t>www.train.org/mitrain</w:t>
        </w:r>
        <w:r w:rsidRPr="00D01B12">
          <w:rPr>
            <w:rFonts w:asciiTheme="minorHAnsi" w:hAnsiTheme="minorHAnsi" w:cstheme="minorHAnsi"/>
            <w:b/>
            <w:color w:val="0BA0E3"/>
            <w:sz w:val="20"/>
            <w:szCs w:val="20"/>
          </w:rPr>
          <w:t>.</w:t>
        </w:r>
      </w:hyperlink>
      <w:r w:rsidR="00E864A1" w:rsidRPr="00D92D58">
        <w:rPr>
          <w:rFonts w:asciiTheme="minorHAnsi" w:hAnsiTheme="minorHAnsi" w:cstheme="minorHAnsi"/>
          <w:b/>
          <w:sz w:val="20"/>
        </w:rPr>
        <w:t xml:space="preserve"> </w:t>
      </w:r>
      <w:r w:rsidRPr="00D92D58">
        <w:rPr>
          <w:rFonts w:asciiTheme="minorHAnsi" w:hAnsiTheme="minorHAnsi" w:cstheme="minorHAnsi"/>
          <w:b/>
          <w:sz w:val="24"/>
          <w:szCs w:val="24"/>
        </w:rPr>
        <w:t>Course ID:</w:t>
      </w:r>
      <w:r w:rsidR="00D92D58" w:rsidRPr="00D92D58">
        <w:rPr>
          <w:rFonts w:asciiTheme="minorHAnsi" w:hAnsiTheme="minorHAnsi" w:cstheme="minorHAnsi"/>
          <w:b/>
          <w:sz w:val="24"/>
          <w:szCs w:val="24"/>
        </w:rPr>
        <w:t xml:space="preserve"> 1084417</w:t>
      </w:r>
    </w:p>
    <w:p w14:paraId="40246A83" w14:textId="77777777" w:rsidR="00E864A1" w:rsidRPr="00C13E27" w:rsidRDefault="00E864A1" w:rsidP="00E864A1">
      <w:pPr>
        <w:ind w:left="604" w:right="203"/>
        <w:jc w:val="center"/>
        <w:rPr>
          <w:rFonts w:asciiTheme="minorHAnsi" w:hAnsiTheme="minorHAnsi" w:cstheme="minorHAnsi"/>
          <w:b/>
          <w:sz w:val="24"/>
          <w:szCs w:val="24"/>
        </w:rPr>
      </w:pPr>
    </w:p>
    <w:p w14:paraId="1EFF1FE0" w14:textId="77777777" w:rsidR="00E864A1" w:rsidRPr="00C13E27" w:rsidRDefault="00842C1D" w:rsidP="00E864A1">
      <w:pPr>
        <w:ind w:left="604" w:right="200"/>
        <w:jc w:val="center"/>
        <w:rPr>
          <w:rFonts w:asciiTheme="minorHAnsi" w:hAnsiTheme="minorHAnsi" w:cstheme="minorHAnsi"/>
          <w:b/>
          <w:sz w:val="24"/>
          <w:szCs w:val="24"/>
        </w:rPr>
      </w:pPr>
      <w:r w:rsidRPr="00C13E27">
        <w:rPr>
          <w:rFonts w:asciiTheme="minorHAnsi" w:hAnsiTheme="minorHAnsi" w:cstheme="minorHAnsi"/>
          <w:b/>
          <w:sz w:val="24"/>
          <w:szCs w:val="24"/>
        </w:rPr>
        <w:t xml:space="preserve">A limited room block has been </w:t>
      </w:r>
      <w:r w:rsidR="00651198" w:rsidRPr="00C13E27">
        <w:rPr>
          <w:rFonts w:asciiTheme="minorHAnsi" w:hAnsiTheme="minorHAnsi" w:cstheme="minorHAnsi"/>
          <w:b/>
          <w:sz w:val="24"/>
          <w:szCs w:val="24"/>
        </w:rPr>
        <w:t>reserved and</w:t>
      </w:r>
      <w:r w:rsidRPr="00C13E27">
        <w:rPr>
          <w:rFonts w:asciiTheme="minorHAnsi" w:hAnsiTheme="minorHAnsi" w:cstheme="minorHAnsi"/>
          <w:b/>
          <w:sz w:val="24"/>
          <w:szCs w:val="24"/>
        </w:rPr>
        <w:t xml:space="preserve"> is being offered at the </w:t>
      </w:r>
    </w:p>
    <w:p w14:paraId="44C3167E" w14:textId="350A014F" w:rsidR="00003416" w:rsidRPr="00C13E27" w:rsidRDefault="00842C1D" w:rsidP="00E864A1">
      <w:pPr>
        <w:ind w:left="604" w:right="200"/>
        <w:jc w:val="center"/>
        <w:rPr>
          <w:rFonts w:asciiTheme="minorHAnsi" w:hAnsiTheme="minorHAnsi" w:cstheme="minorHAnsi"/>
          <w:b/>
          <w:sz w:val="24"/>
          <w:szCs w:val="24"/>
        </w:rPr>
      </w:pPr>
      <w:r w:rsidRPr="00C13E27">
        <w:rPr>
          <w:rFonts w:asciiTheme="minorHAnsi" w:hAnsiTheme="minorHAnsi" w:cstheme="minorHAnsi"/>
          <w:b/>
          <w:sz w:val="24"/>
          <w:szCs w:val="24"/>
        </w:rPr>
        <w:t xml:space="preserve">State rate of </w:t>
      </w:r>
      <w:r w:rsidRPr="00C13E27">
        <w:rPr>
          <w:rFonts w:asciiTheme="minorHAnsi" w:hAnsiTheme="minorHAnsi" w:cstheme="minorHAnsi"/>
          <w:b/>
          <w:color w:val="FF0000"/>
          <w:sz w:val="24"/>
          <w:szCs w:val="24"/>
        </w:rPr>
        <w:t>$</w:t>
      </w:r>
      <w:r w:rsidR="00D92D58">
        <w:rPr>
          <w:rFonts w:asciiTheme="minorHAnsi" w:hAnsiTheme="minorHAnsi" w:cstheme="minorHAnsi"/>
          <w:b/>
          <w:color w:val="FF0000"/>
          <w:sz w:val="24"/>
          <w:szCs w:val="24"/>
        </w:rPr>
        <w:t>8</w:t>
      </w:r>
      <w:r w:rsidRPr="00C13E27">
        <w:rPr>
          <w:rFonts w:asciiTheme="minorHAnsi" w:hAnsiTheme="minorHAnsi" w:cstheme="minorHAnsi"/>
          <w:b/>
          <w:color w:val="FF0000"/>
          <w:sz w:val="24"/>
          <w:szCs w:val="24"/>
        </w:rPr>
        <w:t xml:space="preserve">5.00 </w:t>
      </w:r>
      <w:r w:rsidRPr="00C13E27">
        <w:rPr>
          <w:rFonts w:asciiTheme="minorHAnsi" w:hAnsiTheme="minorHAnsi" w:cstheme="minorHAnsi"/>
          <w:b/>
          <w:sz w:val="24"/>
          <w:szCs w:val="24"/>
        </w:rPr>
        <w:t>for a single room.</w:t>
      </w:r>
    </w:p>
    <w:p w14:paraId="2ABF4270" w14:textId="1A9E5EBA" w:rsidR="00E864A1" w:rsidRPr="00C13E27" w:rsidRDefault="00E864A1" w:rsidP="00E864A1">
      <w:pPr>
        <w:ind w:left="604" w:right="200"/>
        <w:jc w:val="center"/>
        <w:rPr>
          <w:rFonts w:asciiTheme="minorHAnsi" w:hAnsiTheme="minorHAnsi" w:cstheme="minorHAnsi"/>
          <w:b/>
          <w:sz w:val="24"/>
          <w:szCs w:val="24"/>
        </w:rPr>
      </w:pPr>
    </w:p>
    <w:p w14:paraId="40FACD2D" w14:textId="5B24BD01" w:rsidR="00B56B48" w:rsidRPr="00C43A47" w:rsidRDefault="00842C1D" w:rsidP="00BD1CC6">
      <w:pPr>
        <w:spacing w:before="40"/>
        <w:ind w:left="604" w:right="205"/>
        <w:jc w:val="center"/>
        <w:rPr>
          <w:rFonts w:asciiTheme="minorHAnsi" w:hAnsiTheme="minorHAnsi" w:cstheme="minorHAnsi"/>
          <w:b/>
          <w:sz w:val="18"/>
        </w:rPr>
      </w:pPr>
      <w:r w:rsidRPr="00D92D58">
        <w:rPr>
          <w:rFonts w:asciiTheme="minorHAnsi" w:hAnsiTheme="minorHAnsi" w:cstheme="minorHAnsi"/>
          <w:b/>
          <w:sz w:val="24"/>
          <w:szCs w:val="24"/>
        </w:rPr>
        <w:t>For reservations:</w:t>
      </w:r>
      <w:r w:rsidRPr="00D01B12">
        <w:rPr>
          <w:rFonts w:asciiTheme="minorHAnsi" w:hAnsiTheme="minorHAnsi" w:cstheme="minorHAnsi"/>
          <w:b/>
          <w:color w:val="0BA0E3"/>
          <w:sz w:val="24"/>
          <w:szCs w:val="24"/>
        </w:rPr>
        <w:t xml:space="preserve"> </w:t>
      </w:r>
      <w:hyperlink r:id="rId6">
        <w:r w:rsidRPr="00D01B12">
          <w:rPr>
            <w:rFonts w:asciiTheme="minorHAnsi" w:hAnsiTheme="minorHAnsi" w:cstheme="minorHAnsi"/>
            <w:b/>
            <w:color w:val="0BA0E3"/>
            <w:sz w:val="24"/>
            <w:szCs w:val="24"/>
          </w:rPr>
          <w:t>www.kelloggcenter.com</w:t>
        </w:r>
      </w:hyperlink>
      <w:r w:rsidR="00E864A1" w:rsidRPr="00D01B12">
        <w:rPr>
          <w:rFonts w:asciiTheme="minorHAnsi" w:hAnsiTheme="minorHAnsi" w:cstheme="minorHAnsi"/>
          <w:b/>
          <w:color w:val="8DB3E2" w:themeColor="text2" w:themeTint="66"/>
          <w:sz w:val="24"/>
          <w:szCs w:val="24"/>
        </w:rPr>
        <w:t xml:space="preserve"> </w:t>
      </w:r>
      <w:r w:rsidRPr="00D01B12">
        <w:rPr>
          <w:rFonts w:asciiTheme="minorHAnsi" w:hAnsiTheme="minorHAnsi" w:cstheme="minorHAnsi"/>
          <w:b/>
        </w:rPr>
        <w:t>Group Code</w:t>
      </w:r>
      <w:r w:rsidRPr="00D01B12">
        <w:rPr>
          <w:rFonts w:asciiTheme="minorHAnsi" w:hAnsiTheme="minorHAnsi" w:cstheme="minorHAnsi"/>
          <w:b/>
          <w:sz w:val="18"/>
        </w:rPr>
        <w:t>:</w:t>
      </w:r>
      <w:r w:rsidR="00D92D58" w:rsidRPr="00D01B12">
        <w:rPr>
          <w:rFonts w:asciiTheme="minorHAnsi" w:hAnsiTheme="minorHAnsi" w:cstheme="minorHAnsi"/>
          <w:sz w:val="18"/>
        </w:rPr>
        <w:t xml:space="preserve"> </w:t>
      </w:r>
      <w:r w:rsidR="00D92D58" w:rsidRPr="00D01B12">
        <w:rPr>
          <w:rFonts w:asciiTheme="minorHAnsi" w:hAnsiTheme="minorHAnsi" w:cstheme="minorHAnsi"/>
          <w:sz w:val="24"/>
          <w:szCs w:val="24"/>
        </w:rPr>
        <w:t>1909CONFER</w:t>
      </w:r>
    </w:p>
    <w:p w14:paraId="77DC8F4E" w14:textId="2B73B08C" w:rsidR="00003416" w:rsidRDefault="00A30EB8">
      <w:pPr>
        <w:pStyle w:val="BodyText"/>
        <w:spacing w:before="2"/>
        <w:rPr>
          <w:b/>
          <w:i w:val="0"/>
          <w:sz w:val="11"/>
        </w:rPr>
      </w:pPr>
      <w:r>
        <w:rPr>
          <w:noProof/>
        </w:rPr>
        <w:drawing>
          <wp:anchor distT="0" distB="0" distL="0" distR="0" simplePos="0" relativeHeight="251659264" behindDoc="0" locked="0" layoutInCell="1" allowOverlap="1" wp14:anchorId="2848D160" wp14:editId="2C27B63B">
            <wp:simplePos x="0" y="0"/>
            <wp:positionH relativeFrom="margin">
              <wp:align>center</wp:align>
            </wp:positionH>
            <wp:positionV relativeFrom="paragraph">
              <wp:posOffset>142875</wp:posOffset>
            </wp:positionV>
            <wp:extent cx="929237" cy="461772"/>
            <wp:effectExtent l="0" t="0" r="444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29237" cy="461772"/>
                    </a:xfrm>
                    <a:prstGeom prst="rect">
                      <a:avLst/>
                    </a:prstGeom>
                  </pic:spPr>
                </pic:pic>
              </a:graphicData>
            </a:graphic>
          </wp:anchor>
        </w:drawing>
      </w:r>
    </w:p>
    <w:p w14:paraId="505053FC" w14:textId="77777777" w:rsidR="00A30EB8" w:rsidRDefault="00A30EB8">
      <w:pPr>
        <w:pStyle w:val="BodyText"/>
        <w:ind w:left="140"/>
      </w:pPr>
    </w:p>
    <w:p w14:paraId="3FE0EAF2" w14:textId="1048B4E4" w:rsidR="00003416" w:rsidRDefault="00842C1D">
      <w:pPr>
        <w:pStyle w:val="BodyText"/>
        <w:ind w:left="140"/>
      </w:pPr>
      <w:r>
        <w:t>This conference is supported 100% by the Michigan Department of Health and Human Services with funding from the U. S. Department of Health and Human Services (HHS) Centers for Disease Control and Prevention, Public Health Emergency Preparedness Cooperative Agreement Award U90TP000528-03S2.</w:t>
      </w:r>
    </w:p>
    <w:p w14:paraId="32A2254D" w14:textId="77777777" w:rsidR="00003416" w:rsidRDefault="00842C1D">
      <w:pPr>
        <w:pStyle w:val="BodyText"/>
        <w:ind w:left="140" w:right="180"/>
      </w:pPr>
      <w:r>
        <w:t>The views expressed in written conference materials or publications and by speakers and moderators do not necessarily reflect the official policies of the Department of Health and Human Services, nor does the mention of trade names, commercial practices, or organizations imply endorsement by the U.S. Government.</w:t>
      </w:r>
    </w:p>
    <w:sectPr w:rsidR="00003416">
      <w:type w:val="continuous"/>
      <w:pgSz w:w="12240" w:h="15840"/>
      <w:pgMar w:top="780" w:right="560" w:bottom="280" w:left="58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16"/>
    <w:rsid w:val="00003416"/>
    <w:rsid w:val="002403F3"/>
    <w:rsid w:val="002B0DD7"/>
    <w:rsid w:val="00580F45"/>
    <w:rsid w:val="00651198"/>
    <w:rsid w:val="00842C1D"/>
    <w:rsid w:val="00866EFA"/>
    <w:rsid w:val="00875F4A"/>
    <w:rsid w:val="00A30EB8"/>
    <w:rsid w:val="00B210EF"/>
    <w:rsid w:val="00B248F5"/>
    <w:rsid w:val="00B56B48"/>
    <w:rsid w:val="00BB565F"/>
    <w:rsid w:val="00BD1CC6"/>
    <w:rsid w:val="00C13E27"/>
    <w:rsid w:val="00C43A47"/>
    <w:rsid w:val="00C84D20"/>
    <w:rsid w:val="00D01B12"/>
    <w:rsid w:val="00D92D58"/>
    <w:rsid w:val="00E8357D"/>
    <w:rsid w:val="00E864A1"/>
    <w:rsid w:val="00F6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3E74"/>
  <w15:docId w15:val="{B631F4E4-2EDA-41AA-ADAC-B0757082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3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E27"/>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lloggcenter.com/" TargetMode="External"/><Relationship Id="rId5" Type="http://schemas.openxmlformats.org/officeDocument/2006/relationships/hyperlink" Target="http://mi.train.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SAVE THE DATE</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dc:title>
  <dc:creator>DoctorS</dc:creator>
  <cp:lastModifiedBy>Koval, Jim (DHHS)</cp:lastModifiedBy>
  <cp:revision>2</cp:revision>
  <cp:lastPrinted>2019-04-02T20:31:00Z</cp:lastPrinted>
  <dcterms:created xsi:type="dcterms:W3CDTF">2019-04-29T20:14:00Z</dcterms:created>
  <dcterms:modified xsi:type="dcterms:W3CDTF">2019-04-29T20:14:00Z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Creator">
    <vt:lpwstr>Microsoft® Word 2010</vt:lpwstr>
  </property>
  <property fmtid="{D5CDD505-2E9C-101B-9397-08002B2CF9AE}" pid="4" name="LastSaved">
    <vt:filetime>2019-02-20T00:00:00Z</vt:filetime>
  </property>
</Properties>
</file>