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08" w:type="dxa"/>
        <w:tblLook w:val="04A0" w:firstRow="1" w:lastRow="0" w:firstColumn="1" w:lastColumn="0" w:noHBand="0" w:noVBand="1"/>
      </w:tblPr>
      <w:tblGrid>
        <w:gridCol w:w="1795"/>
        <w:gridCol w:w="8005"/>
        <w:gridCol w:w="8"/>
      </w:tblGrid>
      <w:tr w:rsidR="0051283C" w:rsidRPr="003A2633" w14:paraId="637BF1E6" w14:textId="77777777" w:rsidTr="0051283C">
        <w:trPr>
          <w:gridAfter w:val="1"/>
          <w:wAfter w:w="8" w:type="dxa"/>
        </w:trPr>
        <w:tc>
          <w:tcPr>
            <w:tcW w:w="1795" w:type="dxa"/>
            <w:shd w:val="clear" w:color="auto" w:fill="002060"/>
          </w:tcPr>
          <w:p w14:paraId="2FD2D28A" w14:textId="77777777" w:rsidR="0051283C" w:rsidRPr="0051283C" w:rsidRDefault="0051283C" w:rsidP="003A2633">
            <w:pPr>
              <w:spacing w:line="360" w:lineRule="auto"/>
              <w:rPr>
                <w:rFonts w:cstheme="minorHAnsi"/>
                <w:b/>
                <w:bCs/>
                <w:sz w:val="20"/>
                <w:szCs w:val="20"/>
              </w:rPr>
            </w:pPr>
            <w:r w:rsidRPr="0051283C">
              <w:rPr>
                <w:rFonts w:cstheme="minorHAnsi"/>
                <w:b/>
                <w:bCs/>
                <w:sz w:val="20"/>
                <w:szCs w:val="20"/>
              </w:rPr>
              <w:t>Capability</w:t>
            </w:r>
          </w:p>
        </w:tc>
        <w:tc>
          <w:tcPr>
            <w:tcW w:w="8005" w:type="dxa"/>
            <w:shd w:val="clear" w:color="auto" w:fill="002060"/>
          </w:tcPr>
          <w:p w14:paraId="6C0052F8" w14:textId="417BE25D" w:rsidR="0051283C" w:rsidRPr="0051283C" w:rsidRDefault="00E2152A" w:rsidP="003A2633">
            <w:pPr>
              <w:spacing w:line="360" w:lineRule="auto"/>
              <w:rPr>
                <w:rFonts w:cstheme="minorHAnsi"/>
                <w:b/>
                <w:bCs/>
                <w:sz w:val="20"/>
                <w:szCs w:val="20"/>
              </w:rPr>
            </w:pPr>
            <w:r>
              <w:rPr>
                <w:rFonts w:cstheme="minorHAnsi"/>
                <w:b/>
                <w:bCs/>
                <w:sz w:val="20"/>
                <w:szCs w:val="20"/>
              </w:rPr>
              <w:t xml:space="preserve">Information Sharing </w:t>
            </w:r>
          </w:p>
        </w:tc>
      </w:tr>
      <w:tr w:rsidR="00B05852" w:rsidRPr="003A2633" w14:paraId="183C7EB3" w14:textId="77777777" w:rsidTr="0051283C">
        <w:tc>
          <w:tcPr>
            <w:tcW w:w="1795" w:type="dxa"/>
            <w:shd w:val="clear" w:color="auto" w:fill="D9E2F3" w:themeFill="accent1" w:themeFillTint="33"/>
          </w:tcPr>
          <w:p w14:paraId="4F61D287" w14:textId="1FEBACB0" w:rsidR="00B05852" w:rsidRPr="003A2633" w:rsidRDefault="00B05852" w:rsidP="003A2633">
            <w:pPr>
              <w:spacing w:line="360" w:lineRule="auto"/>
              <w:rPr>
                <w:rFonts w:cstheme="minorHAnsi"/>
                <w:b/>
                <w:bCs/>
              </w:rPr>
            </w:pPr>
            <w:r w:rsidRPr="003A2633">
              <w:rPr>
                <w:rFonts w:cstheme="minorHAnsi"/>
                <w:b/>
                <w:bCs/>
              </w:rPr>
              <w:t xml:space="preserve">Definition </w:t>
            </w:r>
          </w:p>
        </w:tc>
        <w:tc>
          <w:tcPr>
            <w:tcW w:w="8013" w:type="dxa"/>
            <w:gridSpan w:val="2"/>
          </w:tcPr>
          <w:p w14:paraId="76D659B5" w14:textId="45BB854F" w:rsidR="00E2152A" w:rsidRPr="0051283C" w:rsidRDefault="00E2152A" w:rsidP="0051283C">
            <w:pPr>
              <w:rPr>
                <w:rFonts w:cstheme="minorHAnsi"/>
                <w:sz w:val="20"/>
                <w:szCs w:val="20"/>
              </w:rPr>
            </w:pPr>
            <w:r w:rsidRPr="00E2152A">
              <w:rPr>
                <w:rFonts w:cstheme="minorHAnsi"/>
                <w:color w:val="000000"/>
                <w:sz w:val="20"/>
                <w:szCs w:val="20"/>
                <w:shd w:val="clear" w:color="auto" w:fill="FFFFFF"/>
              </w:rPr>
              <w:t>Information sharing is the ability to conduct multijurisdictional and multidisciplinary exchange of health-related information and situational awareness data among federal, state, local, tribal, and territorial levels of government and the private sector. This capability includes the routine sharing of information as well as issuing of public health alerts to all levels of government and the private sector in preparation for and in response to events or incidents of public health significance.</w:t>
            </w:r>
          </w:p>
        </w:tc>
      </w:tr>
      <w:tr w:rsidR="00B05852" w:rsidRPr="003A2633" w14:paraId="4455C426" w14:textId="77777777" w:rsidTr="0051283C">
        <w:tc>
          <w:tcPr>
            <w:tcW w:w="1795" w:type="dxa"/>
            <w:shd w:val="clear" w:color="auto" w:fill="D9E2F3" w:themeFill="accent1" w:themeFillTint="33"/>
          </w:tcPr>
          <w:p w14:paraId="60793D4A" w14:textId="1B9FFD12" w:rsidR="00B05852" w:rsidRPr="003A2633" w:rsidRDefault="00B05852" w:rsidP="003A2633">
            <w:pPr>
              <w:spacing w:line="360" w:lineRule="auto"/>
              <w:rPr>
                <w:rFonts w:cstheme="minorHAnsi"/>
                <w:b/>
                <w:bCs/>
              </w:rPr>
            </w:pPr>
            <w:r w:rsidRPr="003A2633">
              <w:rPr>
                <w:rFonts w:cstheme="minorHAnsi"/>
                <w:b/>
                <w:bCs/>
              </w:rPr>
              <w:t>Function</w:t>
            </w:r>
            <w:r w:rsidR="0051283C">
              <w:rPr>
                <w:rFonts w:cstheme="minorHAnsi"/>
                <w:b/>
                <w:bCs/>
              </w:rPr>
              <w:t>(S)</w:t>
            </w:r>
          </w:p>
        </w:tc>
        <w:tc>
          <w:tcPr>
            <w:tcW w:w="8013" w:type="dxa"/>
            <w:gridSpan w:val="2"/>
          </w:tcPr>
          <w:p w14:paraId="397CD54A" w14:textId="30EF4847" w:rsidR="00E2152A" w:rsidRDefault="00E2152A" w:rsidP="00E2152A">
            <w:pPr>
              <w:numPr>
                <w:ilvl w:val="0"/>
                <w:numId w:val="1"/>
              </w:numPr>
              <w:tabs>
                <w:tab w:val="clear" w:pos="360"/>
              </w:tabs>
              <w:spacing w:before="100" w:beforeAutospacing="1" w:after="100" w:afterAutospacing="1"/>
              <w:rPr>
                <w:rFonts w:eastAsia="Times New Roman" w:cstheme="minorHAnsi"/>
                <w:color w:val="000000"/>
                <w:sz w:val="20"/>
                <w:szCs w:val="20"/>
              </w:rPr>
            </w:pPr>
            <w:r w:rsidRPr="00E2152A">
              <w:rPr>
                <w:rFonts w:eastAsia="Times New Roman" w:cstheme="minorHAnsi"/>
                <w:color w:val="000000"/>
                <w:sz w:val="20"/>
                <w:szCs w:val="20"/>
              </w:rPr>
              <w:t>Function 1: Identify stakeholders that should be incorporated into information flow and define</w:t>
            </w:r>
            <w:r>
              <w:rPr>
                <w:rFonts w:eastAsia="Times New Roman" w:cstheme="minorHAnsi"/>
                <w:color w:val="000000"/>
                <w:sz w:val="20"/>
                <w:szCs w:val="20"/>
              </w:rPr>
              <w:t xml:space="preserve"> </w:t>
            </w:r>
            <w:r w:rsidRPr="00E2152A">
              <w:rPr>
                <w:rFonts w:eastAsia="Times New Roman" w:cstheme="minorHAnsi"/>
                <w:color w:val="000000"/>
                <w:sz w:val="20"/>
                <w:szCs w:val="20"/>
              </w:rPr>
              <w:t>information sharing needs</w:t>
            </w:r>
          </w:p>
          <w:p w14:paraId="66B4A0FC" w14:textId="0B6C7A28" w:rsidR="00E2152A" w:rsidRPr="00E2152A" w:rsidRDefault="00E2152A" w:rsidP="00C86B51">
            <w:pPr>
              <w:numPr>
                <w:ilvl w:val="1"/>
                <w:numId w:val="1"/>
              </w:numPr>
              <w:tabs>
                <w:tab w:val="clear" w:pos="1080"/>
              </w:tabs>
              <w:spacing w:before="100" w:beforeAutospacing="1" w:after="100" w:afterAutospacing="1"/>
              <w:ind w:left="610" w:hanging="270"/>
              <w:rPr>
                <w:rStyle w:val="Strong"/>
                <w:b w:val="0"/>
                <w:bCs w:val="0"/>
                <w:sz w:val="18"/>
                <w:szCs w:val="18"/>
                <w:shd w:val="clear" w:color="auto" w:fill="FFFFFF"/>
              </w:rPr>
            </w:pPr>
            <w:r w:rsidRPr="00E2152A">
              <w:rPr>
                <w:rStyle w:val="Strong"/>
                <w:rFonts w:cstheme="minorHAnsi"/>
                <w:b w:val="0"/>
                <w:bCs w:val="0"/>
                <w:color w:val="000000"/>
                <w:sz w:val="18"/>
                <w:szCs w:val="18"/>
                <w:shd w:val="clear" w:color="auto" w:fill="FFFFFF"/>
              </w:rPr>
              <w:t>Function Definition</w:t>
            </w:r>
            <w:r w:rsidRPr="00E2152A">
              <w:rPr>
                <w:rStyle w:val="Strong"/>
                <w:rFonts w:cstheme="minorHAnsi"/>
                <w:b w:val="0"/>
                <w:bCs w:val="0"/>
                <w:sz w:val="18"/>
                <w:szCs w:val="18"/>
              </w:rPr>
              <w:t>: Identify intra- and inter-jurisdictional stakeholders to participate in information exchange and determine and periodically reassess stakeholders’ needs for bi-directional information sharing.</w:t>
            </w:r>
          </w:p>
          <w:p w14:paraId="050F559F" w14:textId="05DFDF94" w:rsidR="00E2152A" w:rsidRPr="00E2152A" w:rsidRDefault="00E2152A" w:rsidP="00E2152A">
            <w:pPr>
              <w:numPr>
                <w:ilvl w:val="0"/>
                <w:numId w:val="1"/>
              </w:numPr>
              <w:tabs>
                <w:tab w:val="clear" w:pos="360"/>
              </w:tabs>
              <w:spacing w:before="100" w:beforeAutospacing="1" w:after="100" w:afterAutospacing="1"/>
              <w:rPr>
                <w:rFonts w:eastAsia="Times New Roman" w:cstheme="minorHAnsi"/>
                <w:color w:val="000000"/>
                <w:sz w:val="20"/>
                <w:szCs w:val="20"/>
              </w:rPr>
            </w:pPr>
            <w:r w:rsidRPr="00E2152A">
              <w:rPr>
                <w:rFonts w:eastAsia="Times New Roman" w:cstheme="minorHAnsi"/>
                <w:color w:val="000000"/>
                <w:sz w:val="20"/>
                <w:szCs w:val="20"/>
              </w:rPr>
              <w:t>Function 2: Identify and develop guidance, standards, and systems for information exchange</w:t>
            </w:r>
          </w:p>
          <w:p w14:paraId="7890E669" w14:textId="510D4264" w:rsidR="00E2152A" w:rsidRPr="00E2152A" w:rsidRDefault="00E2152A" w:rsidP="00C86B51">
            <w:pPr>
              <w:numPr>
                <w:ilvl w:val="1"/>
                <w:numId w:val="1"/>
              </w:numPr>
              <w:tabs>
                <w:tab w:val="clear" w:pos="1080"/>
              </w:tabs>
              <w:spacing w:before="100" w:beforeAutospacing="1" w:after="100" w:afterAutospacing="1"/>
              <w:ind w:left="610" w:hanging="270"/>
              <w:rPr>
                <w:rStyle w:val="Strong"/>
                <w:b w:val="0"/>
                <w:bCs w:val="0"/>
                <w:sz w:val="18"/>
                <w:szCs w:val="18"/>
                <w:shd w:val="clear" w:color="auto" w:fill="FFFFFF"/>
              </w:rPr>
            </w:pPr>
            <w:r w:rsidRPr="00E2152A">
              <w:rPr>
                <w:rStyle w:val="Strong"/>
                <w:rFonts w:cstheme="minorHAnsi"/>
                <w:b w:val="0"/>
                <w:bCs w:val="0"/>
                <w:color w:val="000000"/>
                <w:sz w:val="18"/>
                <w:szCs w:val="18"/>
                <w:shd w:val="clear" w:color="auto" w:fill="FFFFFF"/>
              </w:rPr>
              <w:t>Function Definition</w:t>
            </w:r>
            <w:r w:rsidRPr="00E2152A">
              <w:rPr>
                <w:rStyle w:val="Strong"/>
                <w:rFonts w:cstheme="minorHAnsi"/>
                <w:b w:val="0"/>
                <w:bCs w:val="0"/>
                <w:sz w:val="18"/>
                <w:szCs w:val="18"/>
              </w:rPr>
              <w:t>: Define procedures and establish systems for information governance, management, and sharing.</w:t>
            </w:r>
          </w:p>
          <w:p w14:paraId="38547128" w14:textId="268D8476" w:rsidR="00E2152A" w:rsidRPr="00E2152A" w:rsidRDefault="00E2152A" w:rsidP="00E2152A">
            <w:pPr>
              <w:numPr>
                <w:ilvl w:val="0"/>
                <w:numId w:val="1"/>
              </w:numPr>
              <w:tabs>
                <w:tab w:val="clear" w:pos="360"/>
              </w:tabs>
              <w:spacing w:before="100" w:beforeAutospacing="1" w:after="100" w:afterAutospacing="1"/>
              <w:rPr>
                <w:rFonts w:eastAsia="Times New Roman" w:cstheme="minorHAnsi"/>
                <w:color w:val="000000"/>
                <w:sz w:val="20"/>
                <w:szCs w:val="20"/>
              </w:rPr>
            </w:pPr>
            <w:r w:rsidRPr="00E2152A">
              <w:rPr>
                <w:rFonts w:eastAsia="Times New Roman" w:cstheme="minorHAnsi"/>
                <w:color w:val="000000"/>
                <w:sz w:val="20"/>
                <w:szCs w:val="20"/>
              </w:rPr>
              <w:t>Function 3: Exchange information to determine a common operating picture</w:t>
            </w:r>
          </w:p>
          <w:p w14:paraId="1E1F6076" w14:textId="33F86F2D" w:rsidR="00E2152A" w:rsidRPr="00E2152A" w:rsidRDefault="00E2152A" w:rsidP="00C86B51">
            <w:pPr>
              <w:numPr>
                <w:ilvl w:val="1"/>
                <w:numId w:val="1"/>
              </w:numPr>
              <w:tabs>
                <w:tab w:val="clear" w:pos="1080"/>
              </w:tabs>
              <w:spacing w:before="100" w:beforeAutospacing="1" w:after="100" w:afterAutospacing="1"/>
              <w:ind w:left="610" w:hanging="270"/>
              <w:rPr>
                <w:rStyle w:val="Strong"/>
                <w:b w:val="0"/>
                <w:bCs w:val="0"/>
                <w:sz w:val="18"/>
                <w:szCs w:val="18"/>
                <w:shd w:val="clear" w:color="auto" w:fill="FFFFFF"/>
              </w:rPr>
            </w:pPr>
            <w:r w:rsidRPr="00E2152A">
              <w:rPr>
                <w:rStyle w:val="Strong"/>
                <w:rFonts w:cstheme="minorHAnsi"/>
                <w:b w:val="0"/>
                <w:bCs w:val="0"/>
                <w:color w:val="000000"/>
                <w:sz w:val="18"/>
                <w:szCs w:val="18"/>
                <w:shd w:val="clear" w:color="auto" w:fill="FFFFFF"/>
              </w:rPr>
              <w:t>Function Definition:</w:t>
            </w:r>
            <w:r w:rsidRPr="00E2152A">
              <w:rPr>
                <w:rStyle w:val="Strong"/>
                <w:rFonts w:cstheme="minorHAnsi"/>
                <w:b w:val="0"/>
                <w:bCs w:val="0"/>
                <w:sz w:val="18"/>
                <w:szCs w:val="18"/>
              </w:rPr>
              <w:t> Share information across public health agencies and intra- and inter-jurisdictional stakeholders using available national standards, such as data vocabulary, storage, transport, security, and accessibility standards.</w:t>
            </w:r>
          </w:p>
          <w:p w14:paraId="26311740" w14:textId="4661B82E" w:rsidR="00552F73" w:rsidRPr="0051283C" w:rsidRDefault="00177B67" w:rsidP="00552F73">
            <w:pPr>
              <w:spacing w:before="100" w:beforeAutospacing="1" w:after="100" w:afterAutospacing="1"/>
              <w:ind w:left="613"/>
              <w:rPr>
                <w:rFonts w:eastAsia="Times New Roman" w:cstheme="minorHAnsi"/>
                <w:color w:val="000000"/>
                <w:sz w:val="20"/>
                <w:szCs w:val="20"/>
              </w:rPr>
            </w:pPr>
            <w:hyperlink r:id="rId7" w:history="1">
              <w:r w:rsidR="00552F73" w:rsidRPr="00552F73">
                <w:rPr>
                  <w:rStyle w:val="Hyperlink"/>
                  <w:sz w:val="14"/>
                  <w:szCs w:val="14"/>
                </w:rPr>
                <w:t>Public Health Preparedness Capabilities: National Standards for State and Local Planning | State and Local Readiness | CDC</w:t>
              </w:r>
            </w:hyperlink>
            <w:r w:rsidR="00552F73">
              <w:rPr>
                <w:sz w:val="14"/>
                <w:szCs w:val="14"/>
              </w:rPr>
              <w:br/>
            </w:r>
          </w:p>
        </w:tc>
      </w:tr>
      <w:tr w:rsidR="003A2633" w:rsidRPr="003A2633" w14:paraId="73EE6BFE" w14:textId="77777777" w:rsidTr="0051283C">
        <w:tc>
          <w:tcPr>
            <w:tcW w:w="1795" w:type="dxa"/>
            <w:shd w:val="clear" w:color="auto" w:fill="D9E2F3" w:themeFill="accent1" w:themeFillTint="33"/>
          </w:tcPr>
          <w:p w14:paraId="09DF42ED" w14:textId="5860FBCB" w:rsidR="003A2633" w:rsidRPr="003A2633" w:rsidRDefault="0051283C" w:rsidP="003A2633">
            <w:pPr>
              <w:spacing w:line="360" w:lineRule="auto"/>
              <w:rPr>
                <w:rFonts w:cstheme="minorHAnsi"/>
                <w:b/>
                <w:bCs/>
              </w:rPr>
            </w:pPr>
            <w:r>
              <w:rPr>
                <w:rFonts w:cstheme="minorHAnsi"/>
                <w:b/>
                <w:bCs/>
              </w:rPr>
              <w:t>Other</w:t>
            </w:r>
          </w:p>
        </w:tc>
        <w:tc>
          <w:tcPr>
            <w:tcW w:w="8013" w:type="dxa"/>
            <w:gridSpan w:val="2"/>
          </w:tcPr>
          <w:p w14:paraId="551724DF" w14:textId="77777777" w:rsidR="003A2633" w:rsidRPr="003A2633" w:rsidRDefault="003A2633" w:rsidP="003A2633">
            <w:pPr>
              <w:numPr>
                <w:ilvl w:val="0"/>
                <w:numId w:val="1"/>
              </w:numPr>
              <w:spacing w:before="100" w:beforeAutospacing="1" w:after="100" w:afterAutospacing="1"/>
              <w:rPr>
                <w:rFonts w:ascii="Open Sans" w:eastAsia="Times New Roman" w:hAnsi="Open Sans" w:cs="Open Sans"/>
                <w:color w:val="000000"/>
                <w:sz w:val="26"/>
                <w:szCs w:val="26"/>
              </w:rPr>
            </w:pPr>
          </w:p>
        </w:tc>
      </w:tr>
    </w:tbl>
    <w:p w14:paraId="1EF996AD" w14:textId="56936EAC" w:rsidR="00B05852" w:rsidRDefault="00B05852" w:rsidP="003A2633">
      <w:pPr>
        <w:spacing w:line="360" w:lineRule="auto"/>
        <w:rPr>
          <w:rFonts w:cstheme="minorHAnsi"/>
        </w:rPr>
      </w:pPr>
    </w:p>
    <w:p w14:paraId="798E25F9" w14:textId="77777777" w:rsidR="00552F73" w:rsidRDefault="00552F73">
      <w:r>
        <w:br w:type="page"/>
      </w:r>
    </w:p>
    <w:tbl>
      <w:tblPr>
        <w:tblStyle w:val="TableGrid"/>
        <w:tblW w:w="0" w:type="auto"/>
        <w:tblLook w:val="04A0" w:firstRow="1" w:lastRow="0" w:firstColumn="1" w:lastColumn="0" w:noHBand="0" w:noVBand="1"/>
      </w:tblPr>
      <w:tblGrid>
        <w:gridCol w:w="3145"/>
        <w:gridCol w:w="6205"/>
      </w:tblGrid>
      <w:tr w:rsidR="00E76C30" w:rsidRPr="003A2633" w14:paraId="296C1B07" w14:textId="77777777" w:rsidTr="00E76C30">
        <w:tc>
          <w:tcPr>
            <w:tcW w:w="3145" w:type="dxa"/>
            <w:shd w:val="clear" w:color="auto" w:fill="002060"/>
          </w:tcPr>
          <w:p w14:paraId="7D24753C" w14:textId="74322978" w:rsidR="00E76C30" w:rsidRDefault="00E76C30" w:rsidP="005D5190">
            <w:pPr>
              <w:spacing w:line="360" w:lineRule="auto"/>
              <w:rPr>
                <w:rFonts w:cstheme="minorHAnsi"/>
                <w:b/>
                <w:bCs/>
              </w:rPr>
            </w:pPr>
            <w:r>
              <w:rPr>
                <w:rFonts w:cstheme="minorHAnsi"/>
                <w:b/>
                <w:bCs/>
              </w:rPr>
              <w:lastRenderedPageBreak/>
              <w:t xml:space="preserve">Highlighted </w:t>
            </w:r>
            <w:r w:rsidR="00C86B51">
              <w:rPr>
                <w:rFonts w:cstheme="minorHAnsi"/>
                <w:b/>
                <w:bCs/>
              </w:rPr>
              <w:t xml:space="preserve">Best </w:t>
            </w:r>
            <w:r>
              <w:rPr>
                <w:rFonts w:cstheme="minorHAnsi"/>
                <w:b/>
                <w:bCs/>
              </w:rPr>
              <w:t xml:space="preserve">Practices </w:t>
            </w:r>
          </w:p>
        </w:tc>
        <w:tc>
          <w:tcPr>
            <w:tcW w:w="6205" w:type="dxa"/>
            <w:shd w:val="clear" w:color="auto" w:fill="002060"/>
          </w:tcPr>
          <w:p w14:paraId="7AB268D1" w14:textId="77777777" w:rsidR="00E76C30" w:rsidRDefault="00E76C30" w:rsidP="005D5190">
            <w:pPr>
              <w:spacing w:line="360" w:lineRule="auto"/>
              <w:rPr>
                <w:rFonts w:cstheme="minorHAnsi"/>
              </w:rPr>
            </w:pPr>
          </w:p>
        </w:tc>
      </w:tr>
      <w:tr w:rsidR="00E76C30" w:rsidRPr="003A2633" w14:paraId="23CFF04F" w14:textId="77777777" w:rsidTr="005D5190">
        <w:tc>
          <w:tcPr>
            <w:tcW w:w="3145" w:type="dxa"/>
            <w:vMerge w:val="restart"/>
            <w:shd w:val="clear" w:color="auto" w:fill="D9E2F3" w:themeFill="accent1" w:themeFillTint="33"/>
          </w:tcPr>
          <w:p w14:paraId="16D04BBA" w14:textId="77777777" w:rsidR="00E76C30" w:rsidRPr="003A2633" w:rsidRDefault="00E76C30" w:rsidP="005D5190">
            <w:pPr>
              <w:spacing w:line="360" w:lineRule="auto"/>
              <w:rPr>
                <w:rFonts w:cstheme="minorHAnsi"/>
                <w:b/>
                <w:bCs/>
              </w:rPr>
            </w:pPr>
            <w:r>
              <w:rPr>
                <w:rFonts w:cstheme="minorHAnsi"/>
                <w:b/>
                <w:bCs/>
              </w:rPr>
              <w:t xml:space="preserve">COVID-19 </w:t>
            </w:r>
            <w:r w:rsidRPr="003A2633">
              <w:rPr>
                <w:rFonts w:cstheme="minorHAnsi"/>
                <w:b/>
                <w:bCs/>
              </w:rPr>
              <w:t>Best Practices</w:t>
            </w:r>
          </w:p>
        </w:tc>
        <w:tc>
          <w:tcPr>
            <w:tcW w:w="6205" w:type="dxa"/>
          </w:tcPr>
          <w:p w14:paraId="4FF5CD40" w14:textId="77777777" w:rsidR="00E76C30" w:rsidRPr="003A2633" w:rsidRDefault="00E76C30" w:rsidP="005D5190">
            <w:pPr>
              <w:spacing w:line="360" w:lineRule="auto"/>
              <w:rPr>
                <w:rFonts w:cstheme="minorHAnsi"/>
              </w:rPr>
            </w:pPr>
            <w:r>
              <w:rPr>
                <w:rFonts w:cstheme="minorHAnsi"/>
              </w:rPr>
              <w:t>Name:</w:t>
            </w:r>
          </w:p>
        </w:tc>
      </w:tr>
      <w:tr w:rsidR="00552F73" w:rsidRPr="003A2633" w14:paraId="05CCA515" w14:textId="77777777" w:rsidTr="005D5190">
        <w:tc>
          <w:tcPr>
            <w:tcW w:w="3145" w:type="dxa"/>
            <w:vMerge/>
            <w:shd w:val="clear" w:color="auto" w:fill="D9E2F3" w:themeFill="accent1" w:themeFillTint="33"/>
          </w:tcPr>
          <w:p w14:paraId="3769B1CC" w14:textId="77777777" w:rsidR="00552F73" w:rsidRPr="003A2633" w:rsidRDefault="00552F73" w:rsidP="005D5190">
            <w:pPr>
              <w:spacing w:line="360" w:lineRule="auto"/>
              <w:rPr>
                <w:rFonts w:cstheme="minorHAnsi"/>
                <w:b/>
                <w:bCs/>
              </w:rPr>
            </w:pPr>
          </w:p>
        </w:tc>
        <w:tc>
          <w:tcPr>
            <w:tcW w:w="6205" w:type="dxa"/>
          </w:tcPr>
          <w:p w14:paraId="6CD6C190" w14:textId="0DC5AE89" w:rsidR="00552F73" w:rsidRDefault="00552F73" w:rsidP="005D5190">
            <w:pPr>
              <w:spacing w:line="360" w:lineRule="auto"/>
              <w:rPr>
                <w:rFonts w:cstheme="minorHAnsi"/>
              </w:rPr>
            </w:pPr>
            <w:r>
              <w:rPr>
                <w:rFonts w:cstheme="minorHAnsi"/>
              </w:rPr>
              <w:t xml:space="preserve">Function/Other: </w:t>
            </w:r>
          </w:p>
        </w:tc>
      </w:tr>
      <w:tr w:rsidR="00E76C30" w:rsidRPr="003A2633" w14:paraId="0ED1C6E2" w14:textId="77777777" w:rsidTr="005D5190">
        <w:tc>
          <w:tcPr>
            <w:tcW w:w="3145" w:type="dxa"/>
            <w:vMerge/>
            <w:shd w:val="clear" w:color="auto" w:fill="D9E2F3" w:themeFill="accent1" w:themeFillTint="33"/>
          </w:tcPr>
          <w:p w14:paraId="7B42DB4A" w14:textId="77777777" w:rsidR="00E76C30" w:rsidRPr="003A2633" w:rsidRDefault="00E76C30" w:rsidP="005D5190">
            <w:pPr>
              <w:spacing w:line="360" w:lineRule="auto"/>
              <w:rPr>
                <w:rFonts w:cstheme="minorHAnsi"/>
                <w:b/>
                <w:bCs/>
              </w:rPr>
            </w:pPr>
          </w:p>
        </w:tc>
        <w:tc>
          <w:tcPr>
            <w:tcW w:w="6205" w:type="dxa"/>
          </w:tcPr>
          <w:p w14:paraId="05A4F78C" w14:textId="77777777" w:rsidR="00E76C30" w:rsidRDefault="00E76C30" w:rsidP="005D5190">
            <w:pPr>
              <w:spacing w:line="360" w:lineRule="auto"/>
              <w:rPr>
                <w:rFonts w:cstheme="minorHAnsi"/>
              </w:rPr>
            </w:pPr>
            <w:r>
              <w:rPr>
                <w:rFonts w:cstheme="minorHAnsi"/>
              </w:rPr>
              <w:t xml:space="preserve">Summary of Practice: </w:t>
            </w:r>
          </w:p>
          <w:p w14:paraId="4EE3A8DB" w14:textId="49B6D20C" w:rsidR="00552F73" w:rsidRPr="003A2633" w:rsidRDefault="00552F73" w:rsidP="005D5190">
            <w:pPr>
              <w:spacing w:line="360" w:lineRule="auto"/>
              <w:rPr>
                <w:rFonts w:cstheme="minorHAnsi"/>
              </w:rPr>
            </w:pPr>
          </w:p>
        </w:tc>
      </w:tr>
      <w:tr w:rsidR="00552F73" w:rsidRPr="003A2633" w14:paraId="104904BD" w14:textId="77777777" w:rsidTr="005D5190">
        <w:tc>
          <w:tcPr>
            <w:tcW w:w="3145" w:type="dxa"/>
            <w:vMerge/>
            <w:shd w:val="clear" w:color="auto" w:fill="D9E2F3" w:themeFill="accent1" w:themeFillTint="33"/>
          </w:tcPr>
          <w:p w14:paraId="49F10F70" w14:textId="77777777" w:rsidR="00552F73" w:rsidRPr="003A2633" w:rsidRDefault="00552F73" w:rsidP="005D5190">
            <w:pPr>
              <w:spacing w:line="360" w:lineRule="auto"/>
              <w:rPr>
                <w:rFonts w:cstheme="minorHAnsi"/>
                <w:b/>
                <w:bCs/>
              </w:rPr>
            </w:pPr>
          </w:p>
        </w:tc>
        <w:tc>
          <w:tcPr>
            <w:tcW w:w="6205" w:type="dxa"/>
          </w:tcPr>
          <w:p w14:paraId="75AC5533" w14:textId="77777777" w:rsidR="00552F73" w:rsidRDefault="00552F73" w:rsidP="005D5190">
            <w:pPr>
              <w:spacing w:line="360" w:lineRule="auto"/>
              <w:rPr>
                <w:rFonts w:cstheme="minorHAnsi"/>
              </w:rPr>
            </w:pPr>
            <w:r>
              <w:rPr>
                <w:rFonts w:cstheme="minorHAnsi"/>
              </w:rPr>
              <w:t xml:space="preserve">Additional Materials: Photos/Manuals/References, etc. </w:t>
            </w:r>
          </w:p>
          <w:p w14:paraId="3FEA0831" w14:textId="24B95987" w:rsidR="00552F73" w:rsidRDefault="00552F73" w:rsidP="005D5190">
            <w:pPr>
              <w:spacing w:line="360" w:lineRule="auto"/>
              <w:rPr>
                <w:rFonts w:cstheme="minorHAnsi"/>
              </w:rPr>
            </w:pPr>
          </w:p>
        </w:tc>
      </w:tr>
      <w:tr w:rsidR="00E76C30" w:rsidRPr="003A2633" w14:paraId="7300E14F" w14:textId="77777777" w:rsidTr="005D5190">
        <w:tc>
          <w:tcPr>
            <w:tcW w:w="3145" w:type="dxa"/>
            <w:vMerge/>
            <w:shd w:val="clear" w:color="auto" w:fill="D9E2F3" w:themeFill="accent1" w:themeFillTint="33"/>
          </w:tcPr>
          <w:p w14:paraId="20C7801B" w14:textId="77777777" w:rsidR="00E76C30" w:rsidRPr="003A2633" w:rsidRDefault="00E76C30" w:rsidP="005D5190">
            <w:pPr>
              <w:spacing w:line="360" w:lineRule="auto"/>
              <w:rPr>
                <w:rFonts w:cstheme="minorHAnsi"/>
                <w:b/>
                <w:bCs/>
              </w:rPr>
            </w:pPr>
          </w:p>
        </w:tc>
        <w:tc>
          <w:tcPr>
            <w:tcW w:w="6205" w:type="dxa"/>
          </w:tcPr>
          <w:p w14:paraId="208A4189" w14:textId="77777777" w:rsidR="00E76C30" w:rsidRPr="003A2633" w:rsidRDefault="00E76C30" w:rsidP="005D5190">
            <w:pPr>
              <w:spacing w:line="360" w:lineRule="auto"/>
              <w:rPr>
                <w:rFonts w:cstheme="minorHAnsi"/>
              </w:rPr>
            </w:pPr>
            <w:r>
              <w:rPr>
                <w:rFonts w:cstheme="minorHAnsi"/>
              </w:rPr>
              <w:t xml:space="preserve">Practice Contact: </w:t>
            </w:r>
          </w:p>
        </w:tc>
      </w:tr>
    </w:tbl>
    <w:p w14:paraId="71098F6D" w14:textId="5D50B3D1" w:rsidR="00E76C30" w:rsidRDefault="00E76C30" w:rsidP="003A2633">
      <w:pPr>
        <w:spacing w:line="360" w:lineRule="auto"/>
        <w:rPr>
          <w:rFonts w:cstheme="minorHAnsi"/>
        </w:rPr>
      </w:pPr>
    </w:p>
    <w:p w14:paraId="7C0F3BD4" w14:textId="77777777" w:rsidR="00552F73" w:rsidRDefault="00552F73" w:rsidP="003A2633">
      <w:pPr>
        <w:spacing w:line="360" w:lineRule="auto"/>
        <w:rPr>
          <w:rFonts w:cstheme="minorHAnsi"/>
        </w:rPr>
      </w:pPr>
    </w:p>
    <w:p w14:paraId="58E1C5D6" w14:textId="77777777" w:rsidR="00E76C30" w:rsidRPr="003A2633" w:rsidRDefault="00E76C30" w:rsidP="003A2633">
      <w:pPr>
        <w:spacing w:line="360" w:lineRule="auto"/>
        <w:rPr>
          <w:rFonts w:cstheme="minorHAnsi"/>
        </w:rPr>
      </w:pPr>
    </w:p>
    <w:p w14:paraId="40052B2D" w14:textId="36562304" w:rsidR="00E76C30" w:rsidRDefault="00E76C30">
      <w:r>
        <w:br w:type="page"/>
      </w:r>
    </w:p>
    <w:p w14:paraId="218A1C95" w14:textId="77777777" w:rsidR="00552F73" w:rsidRDefault="00552F73"/>
    <w:tbl>
      <w:tblPr>
        <w:tblStyle w:val="TableGrid"/>
        <w:tblW w:w="0" w:type="auto"/>
        <w:tblLook w:val="04A0" w:firstRow="1" w:lastRow="0" w:firstColumn="1" w:lastColumn="0" w:noHBand="0" w:noVBand="1"/>
      </w:tblPr>
      <w:tblGrid>
        <w:gridCol w:w="3145"/>
        <w:gridCol w:w="6205"/>
      </w:tblGrid>
      <w:tr w:rsidR="0023265D" w:rsidRPr="003A2633" w14:paraId="2F84CE86" w14:textId="77777777" w:rsidTr="0051283C">
        <w:tc>
          <w:tcPr>
            <w:tcW w:w="9350" w:type="dxa"/>
            <w:gridSpan w:val="2"/>
            <w:shd w:val="clear" w:color="auto" w:fill="002060"/>
          </w:tcPr>
          <w:p w14:paraId="4FC0B8F7" w14:textId="4E44C9F9" w:rsidR="0023265D" w:rsidRPr="0051283C" w:rsidRDefault="00E76C30" w:rsidP="003A2633">
            <w:pPr>
              <w:spacing w:line="360" w:lineRule="auto"/>
              <w:rPr>
                <w:rFonts w:cstheme="minorHAnsi"/>
                <w:b/>
                <w:bCs/>
                <w:color w:val="002060"/>
              </w:rPr>
            </w:pPr>
            <w:r>
              <w:rPr>
                <w:rFonts w:cstheme="minorHAnsi"/>
                <w:b/>
                <w:bCs/>
              </w:rPr>
              <w:t xml:space="preserve">Additional </w:t>
            </w:r>
            <w:r w:rsidR="0023265D" w:rsidRPr="003A2633">
              <w:rPr>
                <w:rFonts w:cstheme="minorHAnsi"/>
                <w:b/>
                <w:bCs/>
              </w:rPr>
              <w:t>Best Practices</w:t>
            </w:r>
          </w:p>
        </w:tc>
      </w:tr>
      <w:tr w:rsidR="00E76C30" w:rsidRPr="003A2633" w14:paraId="6B263F86" w14:textId="77777777" w:rsidTr="003A2633">
        <w:tc>
          <w:tcPr>
            <w:tcW w:w="3145" w:type="dxa"/>
            <w:vMerge w:val="restart"/>
            <w:shd w:val="clear" w:color="auto" w:fill="D9E2F3" w:themeFill="accent1" w:themeFillTint="33"/>
          </w:tcPr>
          <w:p w14:paraId="04293DAD" w14:textId="7AE678B1" w:rsidR="00E76C30" w:rsidRPr="003A2633" w:rsidRDefault="00E76C30" w:rsidP="003A2633">
            <w:pPr>
              <w:spacing w:line="360" w:lineRule="auto"/>
              <w:rPr>
                <w:rFonts w:cstheme="minorHAnsi"/>
                <w:b/>
                <w:bCs/>
              </w:rPr>
            </w:pPr>
            <w:r>
              <w:rPr>
                <w:rFonts w:cstheme="minorHAnsi"/>
                <w:b/>
                <w:bCs/>
              </w:rPr>
              <w:t xml:space="preserve">COVID-19 </w:t>
            </w:r>
            <w:r w:rsidRPr="003A2633">
              <w:rPr>
                <w:rFonts w:cstheme="minorHAnsi"/>
                <w:b/>
                <w:bCs/>
              </w:rPr>
              <w:t>Best Practices</w:t>
            </w:r>
          </w:p>
        </w:tc>
        <w:tc>
          <w:tcPr>
            <w:tcW w:w="6205" w:type="dxa"/>
          </w:tcPr>
          <w:p w14:paraId="3D2FBB03" w14:textId="131E5129" w:rsidR="00E76C30" w:rsidRPr="003A2633" w:rsidRDefault="00E76C30" w:rsidP="003A2633">
            <w:pPr>
              <w:spacing w:line="360" w:lineRule="auto"/>
              <w:rPr>
                <w:rFonts w:cstheme="minorHAnsi"/>
              </w:rPr>
            </w:pPr>
            <w:r>
              <w:rPr>
                <w:rFonts w:cstheme="minorHAnsi"/>
              </w:rPr>
              <w:t>Name:</w:t>
            </w:r>
          </w:p>
        </w:tc>
      </w:tr>
      <w:tr w:rsidR="00E76C30" w:rsidRPr="003A2633" w14:paraId="3F801503" w14:textId="77777777" w:rsidTr="003A2633">
        <w:tc>
          <w:tcPr>
            <w:tcW w:w="3145" w:type="dxa"/>
            <w:vMerge/>
            <w:shd w:val="clear" w:color="auto" w:fill="D9E2F3" w:themeFill="accent1" w:themeFillTint="33"/>
          </w:tcPr>
          <w:p w14:paraId="5BD976BB" w14:textId="77777777" w:rsidR="00E76C30" w:rsidRPr="003A2633" w:rsidRDefault="00E76C30" w:rsidP="003A2633">
            <w:pPr>
              <w:spacing w:line="360" w:lineRule="auto"/>
              <w:rPr>
                <w:rFonts w:cstheme="minorHAnsi"/>
                <w:b/>
                <w:bCs/>
              </w:rPr>
            </w:pPr>
          </w:p>
        </w:tc>
        <w:tc>
          <w:tcPr>
            <w:tcW w:w="6205" w:type="dxa"/>
          </w:tcPr>
          <w:p w14:paraId="40ACC7F7" w14:textId="4605605D" w:rsidR="00E76C30" w:rsidRDefault="00552F73" w:rsidP="003A2633">
            <w:pPr>
              <w:spacing w:line="360" w:lineRule="auto"/>
              <w:rPr>
                <w:rFonts w:cstheme="minorHAnsi"/>
              </w:rPr>
            </w:pPr>
            <w:r>
              <w:rPr>
                <w:rFonts w:cstheme="minorHAnsi"/>
              </w:rPr>
              <w:t>Function/Other:</w:t>
            </w:r>
          </w:p>
        </w:tc>
      </w:tr>
      <w:tr w:rsidR="00E76C30" w:rsidRPr="003A2633" w14:paraId="3B392AF9" w14:textId="77777777" w:rsidTr="003A2633">
        <w:tc>
          <w:tcPr>
            <w:tcW w:w="3145" w:type="dxa"/>
            <w:vMerge/>
            <w:shd w:val="clear" w:color="auto" w:fill="D9E2F3" w:themeFill="accent1" w:themeFillTint="33"/>
          </w:tcPr>
          <w:p w14:paraId="14F3A8A6" w14:textId="4E4AA55B" w:rsidR="00E76C30" w:rsidRPr="003A2633" w:rsidRDefault="00E76C30" w:rsidP="003A2633">
            <w:pPr>
              <w:spacing w:line="360" w:lineRule="auto"/>
              <w:rPr>
                <w:rFonts w:cstheme="minorHAnsi"/>
                <w:b/>
                <w:bCs/>
              </w:rPr>
            </w:pPr>
          </w:p>
        </w:tc>
        <w:tc>
          <w:tcPr>
            <w:tcW w:w="6205" w:type="dxa"/>
          </w:tcPr>
          <w:p w14:paraId="6D79D85B" w14:textId="77777777" w:rsidR="00E76C30" w:rsidRDefault="00E76C30" w:rsidP="003A2633">
            <w:pPr>
              <w:spacing w:line="360" w:lineRule="auto"/>
              <w:rPr>
                <w:rFonts w:cstheme="minorHAnsi"/>
              </w:rPr>
            </w:pPr>
            <w:r>
              <w:rPr>
                <w:rFonts w:cstheme="minorHAnsi"/>
              </w:rPr>
              <w:t>Summary of Practice: (2 to 3 sentences)</w:t>
            </w:r>
          </w:p>
          <w:p w14:paraId="6299A418" w14:textId="329DDED1" w:rsidR="00552F73" w:rsidRPr="003A2633" w:rsidRDefault="00552F73" w:rsidP="003A2633">
            <w:pPr>
              <w:spacing w:line="360" w:lineRule="auto"/>
              <w:rPr>
                <w:rFonts w:cstheme="minorHAnsi"/>
              </w:rPr>
            </w:pPr>
          </w:p>
        </w:tc>
      </w:tr>
      <w:tr w:rsidR="00E76C30" w:rsidRPr="003A2633" w14:paraId="57C32639" w14:textId="77777777" w:rsidTr="003A2633">
        <w:tc>
          <w:tcPr>
            <w:tcW w:w="3145" w:type="dxa"/>
            <w:vMerge/>
            <w:shd w:val="clear" w:color="auto" w:fill="D9E2F3" w:themeFill="accent1" w:themeFillTint="33"/>
          </w:tcPr>
          <w:p w14:paraId="24D7D272" w14:textId="2630505D" w:rsidR="00E76C30" w:rsidRPr="003A2633" w:rsidRDefault="00E76C30" w:rsidP="003A2633">
            <w:pPr>
              <w:spacing w:line="360" w:lineRule="auto"/>
              <w:rPr>
                <w:rFonts w:cstheme="minorHAnsi"/>
                <w:b/>
                <w:bCs/>
              </w:rPr>
            </w:pPr>
          </w:p>
        </w:tc>
        <w:tc>
          <w:tcPr>
            <w:tcW w:w="6205" w:type="dxa"/>
          </w:tcPr>
          <w:p w14:paraId="06B13822" w14:textId="7F0D3255" w:rsidR="00E76C30" w:rsidRPr="003A2633" w:rsidRDefault="00E76C30" w:rsidP="003A2633">
            <w:pPr>
              <w:spacing w:line="360" w:lineRule="auto"/>
              <w:rPr>
                <w:rFonts w:cstheme="minorHAnsi"/>
              </w:rPr>
            </w:pPr>
            <w:r>
              <w:rPr>
                <w:rFonts w:cstheme="minorHAnsi"/>
              </w:rPr>
              <w:t xml:space="preserve">Practice Contact: </w:t>
            </w:r>
          </w:p>
        </w:tc>
      </w:tr>
    </w:tbl>
    <w:p w14:paraId="2A0473BC" w14:textId="18B586D1" w:rsidR="0023265D" w:rsidRDefault="0023265D" w:rsidP="003A2633">
      <w:pPr>
        <w:spacing w:line="360" w:lineRule="auto"/>
        <w:rPr>
          <w:rFonts w:cstheme="minorHAnsi"/>
        </w:rPr>
      </w:pPr>
    </w:p>
    <w:p w14:paraId="4CF792DE" w14:textId="77777777" w:rsidR="00E76C30" w:rsidRDefault="00E76C30">
      <w:r>
        <w:br w:type="page"/>
      </w:r>
    </w:p>
    <w:tbl>
      <w:tblPr>
        <w:tblStyle w:val="TableGrid"/>
        <w:tblW w:w="0" w:type="auto"/>
        <w:tblLook w:val="04A0" w:firstRow="1" w:lastRow="0" w:firstColumn="1" w:lastColumn="0" w:noHBand="0" w:noVBand="1"/>
      </w:tblPr>
      <w:tblGrid>
        <w:gridCol w:w="3145"/>
        <w:gridCol w:w="6205"/>
      </w:tblGrid>
      <w:tr w:rsidR="00E76C30" w:rsidRPr="003A2633" w14:paraId="69FB1691" w14:textId="77777777" w:rsidTr="005D5190">
        <w:tc>
          <w:tcPr>
            <w:tcW w:w="9350" w:type="dxa"/>
            <w:gridSpan w:val="2"/>
            <w:shd w:val="clear" w:color="auto" w:fill="002060"/>
          </w:tcPr>
          <w:p w14:paraId="6B1D9C1E" w14:textId="53ED2D81" w:rsidR="00E76C30" w:rsidRPr="0051283C" w:rsidRDefault="00E76C30" w:rsidP="005D5190">
            <w:pPr>
              <w:spacing w:line="360" w:lineRule="auto"/>
              <w:rPr>
                <w:rFonts w:cstheme="minorHAnsi"/>
                <w:b/>
                <w:bCs/>
                <w:color w:val="002060"/>
              </w:rPr>
            </w:pPr>
            <w:r>
              <w:rPr>
                <w:rFonts w:cstheme="minorHAnsi"/>
                <w:b/>
                <w:bCs/>
              </w:rPr>
              <w:lastRenderedPageBreak/>
              <w:t xml:space="preserve">Improvements and Solutions </w:t>
            </w:r>
          </w:p>
        </w:tc>
      </w:tr>
      <w:tr w:rsidR="00E76C30" w:rsidRPr="003A2633" w14:paraId="46C7F571" w14:textId="77777777" w:rsidTr="005D5190">
        <w:tc>
          <w:tcPr>
            <w:tcW w:w="3145" w:type="dxa"/>
            <w:vMerge w:val="restart"/>
            <w:shd w:val="clear" w:color="auto" w:fill="D9E2F3" w:themeFill="accent1" w:themeFillTint="33"/>
          </w:tcPr>
          <w:p w14:paraId="609DB9A0" w14:textId="5E73B586" w:rsidR="00E76C30" w:rsidRPr="00E76C30" w:rsidRDefault="00E76C30" w:rsidP="00E76C30">
            <w:pPr>
              <w:rPr>
                <w:rFonts w:cstheme="minorHAnsi"/>
                <w:b/>
                <w:bCs/>
              </w:rPr>
            </w:pPr>
            <w:r w:rsidRPr="00E76C30">
              <w:rPr>
                <w:rFonts w:cstheme="minorHAnsi"/>
                <w:b/>
                <w:bCs/>
              </w:rPr>
              <w:t xml:space="preserve">COVID-19 Improvements and Solutions </w:t>
            </w:r>
          </w:p>
        </w:tc>
        <w:tc>
          <w:tcPr>
            <w:tcW w:w="6205" w:type="dxa"/>
          </w:tcPr>
          <w:p w14:paraId="1DE7201F" w14:textId="77777777" w:rsidR="00E76C30" w:rsidRPr="003A2633" w:rsidRDefault="00E76C30" w:rsidP="005D5190">
            <w:pPr>
              <w:spacing w:line="360" w:lineRule="auto"/>
              <w:rPr>
                <w:rFonts w:cstheme="minorHAnsi"/>
              </w:rPr>
            </w:pPr>
            <w:r>
              <w:rPr>
                <w:rFonts w:cstheme="minorHAnsi"/>
              </w:rPr>
              <w:t>Name:</w:t>
            </w:r>
          </w:p>
        </w:tc>
      </w:tr>
      <w:tr w:rsidR="00E76C30" w:rsidRPr="003A2633" w14:paraId="42581B28" w14:textId="77777777" w:rsidTr="005D5190">
        <w:tc>
          <w:tcPr>
            <w:tcW w:w="3145" w:type="dxa"/>
            <w:vMerge/>
            <w:shd w:val="clear" w:color="auto" w:fill="D9E2F3" w:themeFill="accent1" w:themeFillTint="33"/>
          </w:tcPr>
          <w:p w14:paraId="78C43E6D" w14:textId="77777777" w:rsidR="00E76C30" w:rsidRPr="00E76C30" w:rsidRDefault="00E76C30" w:rsidP="00E76C30">
            <w:pPr>
              <w:rPr>
                <w:rFonts w:cstheme="minorHAnsi"/>
                <w:b/>
                <w:bCs/>
              </w:rPr>
            </w:pPr>
          </w:p>
        </w:tc>
        <w:tc>
          <w:tcPr>
            <w:tcW w:w="6205" w:type="dxa"/>
          </w:tcPr>
          <w:p w14:paraId="1B9BC819" w14:textId="140A0F7C" w:rsidR="00E76C30" w:rsidRDefault="00552F73" w:rsidP="005D5190">
            <w:pPr>
              <w:spacing w:line="360" w:lineRule="auto"/>
              <w:rPr>
                <w:rFonts w:cstheme="minorHAnsi"/>
              </w:rPr>
            </w:pPr>
            <w:r>
              <w:rPr>
                <w:rFonts w:cstheme="minorHAnsi"/>
              </w:rPr>
              <w:t>Function/Other:</w:t>
            </w:r>
          </w:p>
        </w:tc>
      </w:tr>
      <w:tr w:rsidR="00E76C30" w:rsidRPr="003A2633" w14:paraId="4111F65F" w14:textId="77777777" w:rsidTr="005D5190">
        <w:tc>
          <w:tcPr>
            <w:tcW w:w="3145" w:type="dxa"/>
            <w:vMerge/>
            <w:shd w:val="clear" w:color="auto" w:fill="D9E2F3" w:themeFill="accent1" w:themeFillTint="33"/>
          </w:tcPr>
          <w:p w14:paraId="001FC207" w14:textId="77777777" w:rsidR="00E76C30" w:rsidRPr="00E76C30" w:rsidRDefault="00E76C30" w:rsidP="00E76C30">
            <w:pPr>
              <w:rPr>
                <w:rFonts w:cstheme="minorHAnsi"/>
                <w:b/>
                <w:bCs/>
              </w:rPr>
            </w:pPr>
          </w:p>
        </w:tc>
        <w:tc>
          <w:tcPr>
            <w:tcW w:w="6205" w:type="dxa"/>
          </w:tcPr>
          <w:p w14:paraId="7E9C3170" w14:textId="77777777" w:rsidR="00E76C30" w:rsidRDefault="00E76C30" w:rsidP="005D5190">
            <w:pPr>
              <w:spacing w:line="360" w:lineRule="auto"/>
              <w:rPr>
                <w:rFonts w:cstheme="minorHAnsi"/>
              </w:rPr>
            </w:pPr>
            <w:r>
              <w:rPr>
                <w:rFonts w:cstheme="minorHAnsi"/>
              </w:rPr>
              <w:t>Summary of Practice: (2 to 3 sentences)</w:t>
            </w:r>
          </w:p>
          <w:p w14:paraId="5D632F14" w14:textId="1EBAC820" w:rsidR="00552F73" w:rsidRPr="003A2633" w:rsidRDefault="00552F73" w:rsidP="005D5190">
            <w:pPr>
              <w:spacing w:line="360" w:lineRule="auto"/>
              <w:rPr>
                <w:rFonts w:cstheme="minorHAnsi"/>
              </w:rPr>
            </w:pPr>
          </w:p>
        </w:tc>
      </w:tr>
      <w:tr w:rsidR="00E76C30" w:rsidRPr="003A2633" w14:paraId="72E346E9" w14:textId="77777777" w:rsidTr="005D5190">
        <w:tc>
          <w:tcPr>
            <w:tcW w:w="3145" w:type="dxa"/>
            <w:vMerge/>
            <w:shd w:val="clear" w:color="auto" w:fill="D9E2F3" w:themeFill="accent1" w:themeFillTint="33"/>
          </w:tcPr>
          <w:p w14:paraId="69257626" w14:textId="77777777" w:rsidR="00E76C30" w:rsidRPr="00E76C30" w:rsidRDefault="00E76C30" w:rsidP="00E76C30">
            <w:pPr>
              <w:rPr>
                <w:rFonts w:cstheme="minorHAnsi"/>
                <w:b/>
                <w:bCs/>
              </w:rPr>
            </w:pPr>
          </w:p>
        </w:tc>
        <w:tc>
          <w:tcPr>
            <w:tcW w:w="6205" w:type="dxa"/>
          </w:tcPr>
          <w:p w14:paraId="5D326F43" w14:textId="1807B092" w:rsidR="00E76C30" w:rsidRPr="003A2633" w:rsidRDefault="00E76C30" w:rsidP="005D5190">
            <w:pPr>
              <w:spacing w:line="360" w:lineRule="auto"/>
              <w:rPr>
                <w:rFonts w:cstheme="minorHAnsi"/>
              </w:rPr>
            </w:pPr>
            <w:r>
              <w:rPr>
                <w:rFonts w:cstheme="minorHAnsi"/>
              </w:rPr>
              <w:t xml:space="preserve">Practice Contact: </w:t>
            </w:r>
          </w:p>
        </w:tc>
      </w:tr>
    </w:tbl>
    <w:p w14:paraId="45782CDA" w14:textId="77777777" w:rsidR="00BD4AFF" w:rsidRPr="0023265D" w:rsidRDefault="00BD4AFF" w:rsidP="008218BC">
      <w:pPr>
        <w:spacing w:line="360" w:lineRule="auto"/>
        <w:jc w:val="center"/>
        <w:rPr>
          <w:rFonts w:ascii="Arial" w:hAnsi="Arial" w:cs="Arial"/>
          <w:sz w:val="24"/>
          <w:szCs w:val="24"/>
        </w:rPr>
      </w:pPr>
    </w:p>
    <w:sectPr w:rsidR="00BD4AFF" w:rsidRPr="0023265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1959" w14:textId="77777777" w:rsidR="00E763BB" w:rsidRDefault="00E763BB" w:rsidP="003A2633">
      <w:pPr>
        <w:spacing w:after="0" w:line="240" w:lineRule="auto"/>
      </w:pPr>
      <w:r>
        <w:separator/>
      </w:r>
    </w:p>
  </w:endnote>
  <w:endnote w:type="continuationSeparator" w:id="0">
    <w:p w14:paraId="3114397A" w14:textId="77777777" w:rsidR="00E763BB" w:rsidRDefault="00E763BB" w:rsidP="003A2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4337" w14:textId="77777777" w:rsidR="00E763BB" w:rsidRDefault="00E763BB" w:rsidP="003A2633">
      <w:pPr>
        <w:spacing w:after="0" w:line="240" w:lineRule="auto"/>
      </w:pPr>
      <w:r>
        <w:separator/>
      </w:r>
    </w:p>
  </w:footnote>
  <w:footnote w:type="continuationSeparator" w:id="0">
    <w:p w14:paraId="1E48FDA3" w14:textId="77777777" w:rsidR="00E763BB" w:rsidRDefault="00E763BB" w:rsidP="003A2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DA05" w14:textId="09256BC2" w:rsidR="003A2633" w:rsidRPr="003A2633" w:rsidRDefault="003A2633" w:rsidP="003A2633">
    <w:pPr>
      <w:rPr>
        <w:rFonts w:cstheme="minorHAnsi"/>
      </w:rPr>
    </w:pPr>
    <w:r w:rsidRPr="003A2633">
      <w:rPr>
        <w:rFonts w:cstheme="minorHAnsi"/>
      </w:rPr>
      <w:t>Medical Countermeasure (MCM) Workgroup 2021 / 2022 </w:t>
    </w:r>
    <w:r w:rsidRPr="003A2633">
      <w:rPr>
        <w:rFonts w:cstheme="minorHAnsi"/>
      </w:rPr>
      <w:br/>
      <w:t>Best Practices and Lessons Learned Project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81E2F"/>
    <w:multiLevelType w:val="multilevel"/>
    <w:tmpl w:val="538215B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DEA72C9"/>
    <w:multiLevelType w:val="multilevel"/>
    <w:tmpl w:val="A230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sDA2MTC2NDI3sbBQ0lEKTi0uzszPAykwqgUAy8POpCwAAAA="/>
  </w:docVars>
  <w:rsids>
    <w:rsidRoot w:val="008910E8"/>
    <w:rsid w:val="00177B67"/>
    <w:rsid w:val="001D019C"/>
    <w:rsid w:val="0023265D"/>
    <w:rsid w:val="003A2633"/>
    <w:rsid w:val="0051283C"/>
    <w:rsid w:val="00552F73"/>
    <w:rsid w:val="008218BC"/>
    <w:rsid w:val="008910E8"/>
    <w:rsid w:val="008D4595"/>
    <w:rsid w:val="00B05852"/>
    <w:rsid w:val="00BD4AFF"/>
    <w:rsid w:val="00C86B51"/>
    <w:rsid w:val="00E2152A"/>
    <w:rsid w:val="00E763BB"/>
    <w:rsid w:val="00E76C30"/>
    <w:rsid w:val="00EB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F9EAA"/>
  <w15:chartTrackingRefBased/>
  <w15:docId w15:val="{F2233A48-7554-4DBC-B694-3DDC3FF3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2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633"/>
  </w:style>
  <w:style w:type="paragraph" w:styleId="Footer">
    <w:name w:val="footer"/>
    <w:basedOn w:val="Normal"/>
    <w:link w:val="FooterChar"/>
    <w:uiPriority w:val="99"/>
    <w:unhideWhenUsed/>
    <w:rsid w:val="003A2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633"/>
  </w:style>
  <w:style w:type="character" w:styleId="Strong">
    <w:name w:val="Strong"/>
    <w:basedOn w:val="DefaultParagraphFont"/>
    <w:uiPriority w:val="22"/>
    <w:qFormat/>
    <w:rsid w:val="003A2633"/>
    <w:rPr>
      <w:b/>
      <w:bCs/>
    </w:rPr>
  </w:style>
  <w:style w:type="character" w:styleId="Hyperlink">
    <w:name w:val="Hyperlink"/>
    <w:basedOn w:val="DefaultParagraphFont"/>
    <w:uiPriority w:val="99"/>
    <w:semiHidden/>
    <w:unhideWhenUsed/>
    <w:rsid w:val="00552F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9910">
      <w:bodyDiv w:val="1"/>
      <w:marLeft w:val="0"/>
      <w:marRight w:val="0"/>
      <w:marTop w:val="0"/>
      <w:marBottom w:val="0"/>
      <w:divBdr>
        <w:top w:val="none" w:sz="0" w:space="0" w:color="auto"/>
        <w:left w:val="none" w:sz="0" w:space="0" w:color="auto"/>
        <w:bottom w:val="none" w:sz="0" w:space="0" w:color="auto"/>
        <w:right w:val="none" w:sz="0" w:space="0" w:color="auto"/>
      </w:divBdr>
      <w:divsChild>
        <w:div w:id="907233270">
          <w:marLeft w:val="0"/>
          <w:marRight w:val="0"/>
          <w:marTop w:val="0"/>
          <w:marBottom w:val="0"/>
          <w:divBdr>
            <w:top w:val="none" w:sz="0" w:space="0" w:color="auto"/>
            <w:left w:val="none" w:sz="0" w:space="0" w:color="auto"/>
            <w:bottom w:val="none" w:sz="0" w:space="0" w:color="auto"/>
            <w:right w:val="none" w:sz="0" w:space="0" w:color="auto"/>
          </w:divBdr>
        </w:div>
      </w:divsChild>
    </w:div>
    <w:div w:id="1472794363">
      <w:bodyDiv w:val="1"/>
      <w:marLeft w:val="0"/>
      <w:marRight w:val="0"/>
      <w:marTop w:val="0"/>
      <w:marBottom w:val="0"/>
      <w:divBdr>
        <w:top w:val="none" w:sz="0" w:space="0" w:color="auto"/>
        <w:left w:val="none" w:sz="0" w:space="0" w:color="auto"/>
        <w:bottom w:val="none" w:sz="0" w:space="0" w:color="auto"/>
        <w:right w:val="none" w:sz="0" w:space="0" w:color="auto"/>
      </w:divBdr>
    </w:div>
    <w:div w:id="1488672670">
      <w:bodyDiv w:val="1"/>
      <w:marLeft w:val="0"/>
      <w:marRight w:val="0"/>
      <w:marTop w:val="0"/>
      <w:marBottom w:val="0"/>
      <w:divBdr>
        <w:top w:val="none" w:sz="0" w:space="0" w:color="auto"/>
        <w:left w:val="none" w:sz="0" w:space="0" w:color="auto"/>
        <w:bottom w:val="none" w:sz="0" w:space="0" w:color="auto"/>
        <w:right w:val="none" w:sz="0" w:space="0" w:color="auto"/>
      </w:divBdr>
    </w:div>
    <w:div w:id="159786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cpr/readiness/capabiliti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Claus</dc:creator>
  <cp:keywords/>
  <dc:description/>
  <cp:lastModifiedBy>Jennifer Sorek</cp:lastModifiedBy>
  <cp:revision>5</cp:revision>
  <dcterms:created xsi:type="dcterms:W3CDTF">2022-02-17T19:36:00Z</dcterms:created>
  <dcterms:modified xsi:type="dcterms:W3CDTF">2022-03-10T19:22:00Z</dcterms:modified>
</cp:coreProperties>
</file>